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2007/47 vom 21. September 2007</w:t>
      </w:r>
    </w:p>
    <w:p>
      <w:r>
        <w:t>Bundesverwaltungsgericht, 2007-09-21, DE</w:t>
      </w:r>
    </w:p>
    <w:p>
      <w:r>
        <w:rPr>
          <w:b/>
        </w:rPr>
        <w:t xml:space="preserve">Quelle: </w:t>
      </w:r>
      <w:r>
        <w:t>https://mcp.opencaselaw.ch/entscheid/bvger_BVGE 2007_47</w:t>
      </w:r>
    </w:p>
    <w:p>
      <w:r>
        <w:t>FR: TAF BVGE 2007/47 du 21 septembre 2007</w:t>
      </w:r>
    </w:p>
    <w:p>
      <w:r>
        <w:t>IT: TAF BVGE 2007/47 del 21 settembre 2007</w:t>
      </w:r>
    </w:p>
    <w:p>
      <w:pPr>
        <w:pStyle w:val="Heading2"/>
      </w:pPr>
      <w:r>
        <w:t>Regeste</w:t>
      </w:r>
    </w:p>
    <w:p>
      <w:r>
        <w:t>GUB/GGA</w:t>
      </w:r>
    </w:p>
    <w:p>
      <w:pPr>
        <w:pStyle w:val="Heading2"/>
      </w:pPr>
      <w:r>
        <w:t>Erwägungen</w:t>
      </w:r>
    </w:p>
    <w:p>
      <w:r>
        <w:rPr>
          <w:b/>
        </w:rPr>
        <w:t>E. 3</w:t>
      </w:r>
    </w:p>
    <w:p>
      <w:r>
        <w:t>Wie bereits in der E. 1.4 erwähnt, ist nachfolgend einzig zu untersuchen, ob die Vorinstanz auf die Eingabe der Beschwerdeführerin zu Recht nicht eingetreten ist. Die von den Parteien in ihren Rechtsschriften einlässlich dargelegtenmateriellen Argumente zum ursprungsschutzrechtlichen Schutzumfang von « Vacherin Mont-d'Or AOC » im Verhältnis zum « Krümmenswiler Försterkäse » sind daher nicht näher darzustellen oder gar zu erörtern. Dasselbe gilt auch bezüglich der von der Beschwerdeführerin behaupteten Verletzung des rechtlichen Gehörs durch die Erstinstanz sowie bezüglich der damit eng zusammenhängenden Frage einer allfälligen Parteistellung vor dieser Instanz und der damit verbundenen, unter Umständen ebenfalls zu erörternden Frage, ob der Beschwerdeführerin in Verfahren wie dem vorliegenden angesichts bestehender Strafbestimmungen (vgl. Art. 172 des Landwirtschaftsgesetzes vom 29. April 1998 [LwG, SR 910.1] bzw. Art. 48 Abs. 1 Bst. h des Lebensmittelgesetzes vom 9. Oktober 1992 [LMG, SR 817.0])und des dadurch offenstehenden Rechtsweges überhaupt ein Feststellungsinteresse zuzubilligen wäre. - (...)</w:t>
      </w:r>
    </w:p>
    <w:p>
      <w:r>
        <w:rPr>
          <w:b/>
        </w:rPr>
        <w:t>E. 3.2.1</w:t>
      </w:r>
    </w:p>
    <w:p>
      <w:r>
        <w:t>Die Vorinstanz hat im angefochtenen Entscheid (Ziff. II/1.b S. 2 f.) die ihr unterbreitete Streitsache insofern zutreffend umschrieben, als sie die lebensmittelrechtlichen Beanstandungen der Erstinstanz nicht als strittig erachtete, obschon diese angesichts der beantragten Aufhebung der angefochtenen Verfügung fälschlicherweise auch in Frage gestellt waren. Demnach hat die Vorinstanz den Streitgegenstand folgerichtig auf die negative Feststellung der Erstinstanz eingeschränkt, wonach der Försterkäse gegenwärtig nicht gegen Art. 17 Abs. 3 Bst. c der GUB/GGA-Verordnung vom 28. Mai 1997 (SR 910.12) verstosse (Dispositiv-Ziffer 2 der Verfügung vom 4. April 2005). Die Zulässigkeit dieser Feststellungsverfügung an sich wird zu Recht weder von der Vorinstanz noch von den Parteien grundsätzlich in Frage gestellt: Fällt doch nach bundesgerichtlicher Rechtsprechung bei der Beurteilung des schutzwürdigen Interesses namentlich in Betracht, ob ein Gesuchsteller bei Verweigerung der nachgesuchten Feststellungsverfügung Gefahr laufen würde, ihm nachteilige Massnahmen zu treffen oder günstige zu unterlassen (BGE 108 Ib 540 E. 3; Andreas Kley, Die Feststellungsverfügung - eine ganz gewöhnliche Verfügung-, in: Verfassungsstaat vor neuen Herausforderungen: Festschrift für Yvo Hangartner, St. Gallen 1998, S. 229 ff., insbes. S. 239 ff.). Angesichts der Behauptungen der Beschwerdeführerin ist derBeschwerdegegnerin daher im vorliegenden Fall zumindest bezüglich der Frage ein Feststellungsinteresse zuzugestehen, ob der von ihr in Toggenburger Bergfichte eingefasste und unter dem Kennzeichen « Krümmenswiler Försterkäse » vermarktete Rahmkäse gegen das lebensmittelrechtliche Täuschungsverbot (Art. 18 Abs. 3 LMG) bzw. gegen das landwirtschaftsrechtlich verankerte Verbot der widerrechtlichen Verwendung geschützter Ursprungsbezeichnungen (Art. 16 Abs. 7 LwG) verstösst, zumal ein allfälliger Verstoss gegen den Schutzumfang der geschützten Ursprungsbezeichnung « Vacherin Mont-d'Or » strafrechtlich sanktioniert werden könnte (vgl. Art. 172 LwG bzw. Art. 48 Abs. 1 Bst. h LMG) und unter den Parteien der Sinn und die Tragweite von Art. 17 Abs. 3 Bst. b bzw. c GUB/GGA-Verordnung strittig sind, eine höchstrichterliche Rechtsprechung dazu fehlt und die Lehrmeinungen auseinander gehen (vgl. Lorenz Hirt, Der Schutz schweizerischer Herkunftsangaben, Bern 2003, S. 159 f.; Simon Holzer, Geschützte Ursprungsbezeichnungen [GUB] und geschützte geografische Angaben [GGA] landwirtschaftlicher Erzeugnisse: ihre Stellung im globalen, europäischen und schweizerischen Recht zum Schutz geografischer Herkunftsangaben, Bern 2005, S. 349 ff.). Für diese Sicht spricht auch ein Urteil des BGer, das in einem vergleichbaren Fall es als nicht zulässig erachtet hatte, Gesuchsteller darauf zu verweisen, durch Zuwiderhandlung ein Strafverfahren zu provozieren, welches erst die richterliche Überprüfung einer von ihnen angefochtenen Verordnungsvorschrift ermöglicht hätte (BGE 97 I 852 E. 3b; KLEY, a.a.O., FN 28 S. 233).</w:t>
      </w:r>
    </w:p>
    <w:p>
      <w:r>
        <w:rPr>
          <w:b/>
        </w:rPr>
        <w:t>E. 3.2.2</w:t>
      </w:r>
    </w:p>
    <w:p>
      <w:r>
        <w:t>Die Vorinstanz hat der Beschwerdeführerin als Sortenorganisation mangels gesetzlicher Grundlage die Befugnis zur sogenannten « ideellen Verbandsbeschwerde » abgesprochen. Dies stellt die Beschwerdeführerin zu Recht nicht in Frage. Die Vorinstanz hat auch zutreffend erkannt, dass der Beschwerdeführerin kein eigenes schutzwürdiges Interesse an der Aufhebung oder Änderung der angefochtenen Feststellungsverfügung zuzuerkennen ist, zumal sie nicht als Konkurrentin der Beschwerdegegnerin auftritt und sich deshalb auch die Frage einer allfälligen Legitimation zur Konkurrentenbeschwerde nicht stellen kann. Hierzu wird auf die überzeugenden Ausführungen der Vorinstanz verwiesen. In Übereinstimmung mit der bundesgerichtlichen Rechtsprechung hat die Vorinstanz aber auch eingeräumt, dass die Beschwerdeführerin angesichts ihrer Statuten und der Interessenlage der Mehrheit ihrer Mitglieder befugt sein könnte, in deren Interesse Rekurs zu erheben, sofern sich diese als Konkurrenten über eine spezifische, qualifizierte Beziehungsnähe ausweisen könnten - etwa durch eine spezielle wirtschaftsverwaltungsrechtliche Zulassungs- oder Kontingentierungsordnung, welcher sie gemeinsam unterworfen wären (vgl. Ziffer II/2g S. 5 des angefochtenen Entscheids mit Verweis auf BGE 123 II 376 E. 5b/aa). Die Vorinstanz hat die einschlägige Rechtsprechung des BGer im angefochtenen Entscheid zutreffend zitiert, weshalb auch hierzu auf deren Ausführungen verwiesen wird. Da die Mitglieder der Beschwerdeführerin - wie die einschlägigen Vereinsstatuten zeigen - in ihrer Mehrzahl den GUB-geschützten Vacherin Mont-d'Or herstellen bzw. veredlen, schloss die Vorinstanz folgerichtig, dass sie unter Umständen als Konkurrenten der Beschwerdegegnerin rekurslegitimiert sein könnten, wobei diesfalls auch die Beschwerdeführerin berechtigt wäre, im eigenem Namen, aber im Interesse ihrer Mitglieder Rekurs einzureichen (vgl. zur sog. « egoistischen Verbandsbeschwerde »: Ulrich Häfelin/Georg Müller/Felix Uhlmann, Allgemeines Verwaltungsrecht, 5. Aufl., Zürich/Basel/Genf 2006, Rz. 1787 ff. mit Hinweisen; Holzer, a.a.O., S. 367). Zu Recht erkannte die Vorinstanz auch, dass geschützte Ursprungsbezeichnungen - entgegen der Darstellung der Beschwerdeführerin - zwar keine (absolute Rechte vermittelnde) Marken im Sinne von Art. 1 des Markenschutzgesetzes vom 28. August 1992 (MSchG, SR 232.11) sind, die in Art. 16 LwG (i.V.m. Art. 172 LwG und Art. 17 GUB/GGA-Verordnung) vorgesehene Schutzregelung für geschützte Ursprungsbezeichnungen aber eine spezielle wirtschaftsverwaltungsrechtliche Zulassungsordnung bildet, weshalb Konkurrenten in Bezug auf die Verwendung von geschützten Ursprungsbezeichnungen in einer spezifischen, qualifizierten Beziehungsnähe zum Streitgegenstand stehen könnten. Im vorliegenden Fall hat die Vorinstanz die legitimationsbegründende Beziehungsnähe der Mitglieder der Beschwerdeführerin zum Streitgegenstand indessen verneint. Dabei verwies sie darauf, dass der Streiteinzig denlebensmittelrechtlichen Täuschungsschutz beschlage, weil der vom Kantonschemiker überprüfte Art. 17 Abs. 3 GUB/GGA-Verordnung nicht die (allenfalls unzulässige) Verwendung einer geschützten Ursprungsbezeichnung regle, sondern als polizeiliche Regelung Treu und Glauben im Geschäftsverkehr schütze (vgl. Ziff. II/2.j S. 5 f. des angefochtenen Entscheids). In diesem Sinne hielt auch die REKO/EVD in ihrem vom BGer am 1. Februar 2007 aufgehobenen Beschwerdeentscheid fest, dass sich die (von der Vorinstanz materiell nicht behandelte) konkrete Streitfrage, ob der angeblich wie Vacherin Mont-d'Or aussehende und gleich verpackte, aber als « Krümmenswiler Försterkäse » bezeichnete Käse einen irreführenden Eindruck über den Ursprung des Erzeugnisses machen könne, das lebensmittelgesetzliche Grundanliegen betreffe, die Konsumenten vor Täuschung und damit Treu und Glauben im Geschäftsverkehr zu schützen. Über den Standpunkt der Vorinstanz hinausgehend bezeichnete die REKO/EVD den Zweck des ursprungsrechtlichen Kennzeichnungsschutzes nach Art. 16 LwG, die Erzeuger und Verarbeiter landwirtschaftlicher Produkte vor unlauterer Konkurrenz zu schützen, lediglich als « Reflexwirkung », weshalb sie den lebensmittelrechtlichen Aspekt des Streites im Vordergrund sah. In der Folge schlossen sich auch das EVD sowie das Bundesamt für Landwirtschaft im Rahmen des Beschwerdeverfahrens vor BGer der Auffassung der REKO/EVD an (vgl. Urteil des BGer 2A.515/2006 vom 1. Februar 2007 E. 3.3 [bzw. Sachverhalt C]). Das BGer hat indessen im erwähnten Urteil vom 1. Februar 2007 die Auffassung der REKO/EVD verworfen, den zu beurteilenden Streit einseitig dem « lebensmittelpolizeirechtlichen Täuschungsschutz » zuzuordnen und ihn damit auf eine rein lebensmittelrechtliche Fragestellung zu reduzieren. Zwar räumte das BGer ein, dass die angerufenen Normen der GUB/GGA-Verordnung indirekt auch die Verbraucher schützten. In den Vordergrund stellte es aber, dass das anwendbare LwG unter anderem der Förderung der Qualität und des Absatzes schweizerischer Agrarprodukte diene, weshalb « der Gebrauch und Schutz von Ursprungsbezeichnungen und Herkunftsangaben seine Rechtsgrundlage nicht im Lebensmittelrecht, sondern im Landwirtschaftsgesetz » finde. In diesem Zusammenhang hielt das BGer für das BVGer verbindlich fest, dass es vorliegend primär um « den Schutz der Landwirtschaft und ihr nachgelagerter Betriebe » gehe, zumal die Beschwerdeführerin « in dieser Eigenschaft » aufgetreten sei (Urteil des BGer 2A.515/2006 vom 1. Februar 2007 E. 3.2 in fine). Damit bringt das BGer zum Ausdruck, dass vorliegend der landwirtschaftsrechtliche Schutz von Ursprungs- und Herkunftsbezeichnungen im Vordergrund steht, welcher auf die Verbesserung der Wettbewerbsfähigkeit der Landwirtschaft ausgerichtet ist und somit im Ergebnis die Produzenten von ursprungsgeschützen landwirtschaftlichen Erzeugnissen (bzw. landwirtschaftlichen Verarbeitungsprodukten) vor illegitimem Wettbewerb durch Erzeugnisse schützen will, welche die Kriterien der ursprungsschutzrechtlichen Zulassung nicht erfüllen (und damit gleichzeitig auch gegen das lebensmittelrechtliche Täuschungsverbot verstossen, vgl. dazu: Botschaft vom 27. Juni 1995 zum « Agrarpaket 95 », BBl 1995 IV 629, insbes. S. 666 Ziff. 52). In diesem Sinne zielen auch die Anliegen der Beschwerdeführerin im Ergebnis primär auf denwettbewerbsrechtlichen Schutz ihrer Mitglieder vor unlauterer Konkurrenz, was der wettbewerbsrechtlichen Natur des Schutzes geografischer Herkunftsangaben entspricht (vgl. HOLZER, a.a.O., S. 184 f.). Diese Auffassung steht letztlich auch im Einklang mit der Sicht der Vorinstanz, wonach die in Art. 16 LwG vorgesehene Schutzregelung für geschützte Ursprungsbezeichnungen eine spezielle wirtschaftsverwaltungsrechtliche Zulassungsordnung darstellt, weshalb allen Produzenten ursprungsgeschützter landwirtschaftlicher Erzeugnisse (bzw. landwirtschaftlicher Verarbeitungsprodukte) in Bezug auf die Verwendung geschützter Ursprungsbezeichnungen als Konkurrenten eine spezifische, qualifizierte Beziehungsnähe zu allfälligen Schutzverletzungen zuzuerkennen ist. Somit lässt sich - entgegen der Auffassung der Vorinstanz und der Beschwerdegegnerin - im Lichte des besagten bundesgerichtlichen Urteils den betroffenen Produzenten ursprungsgeschützter landwirtschaftlicher Erzeugnisse (bzw. landwirtschaftlicher Verarbeitungsprodukte) ein tatsächliches Interesse nicht absprechen, wenn sie - wie hier - die Rechtmässigkeit einer Feststellungsverfügung in Frage stellen wollen, welche ihre vermeintlichen Schutzrechte nach Art. 16 Abs. 7 LwG (i.V.m. Art. 17 GUB/GGA-Verordnung) angeblich verletzt. Dies gilt um so mehr, als eine solche vom Kantonschemiker ausgesprochene Feststellungsverfügung in einem allfälligen, gestützt auf Art. 172 LwG durchgeführten Strafverfahren für den Strafrichter Verbindlichkeit beanspruchen könnte.</w:t>
      </w:r>
    </w:p>
    <w:p>
      <w:r>
        <w:rPr>
          <w:b/>
        </w:rPr>
        <w:t>E. 3.3</w:t>
      </w:r>
    </w:p>
    <w:p>
      <w:r>
        <w:t>Zusammenfassend ergibt sich, dass die Vorinstanz zu Unrecht auf den Rekurs der Beschwerdeführerin nicht eingetreten ist. Deshalb ist die Beschwerde teilweise begründet und gutzuheissen, soweit darauf einzutreten ist. Die Streitsache ist im Sinne der Erwägungen an die Vorinstanz zurückzuweisen (Art. 61 Abs. 1 des Bundesgesetzes vom 20. Dezember 1968 über das Verwaltungsverfahren [VwVG, SR 172.021]). Diese wird mit Blick auf die gestellten Anträge und die geltend gemachten materiellen Argumente der Parteien insbesondere die Frage der Gesetzmässigkeit von Art. 17 Abs. 3 Bst. b und c GUB/GGA-Verordnung (vgl. die Kontroverse in der Lehre: Hirt, a.a.O., S. 159 f.; Holzer, a.a.O., S. 349 ff.) sowie auch die Frage der Zulässigkeit der anbegehrten Verbotsverfügung vertieft zu prüfen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